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二十四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（2020年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二十四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批)</w:t>
      </w:r>
    </w:p>
    <w:tbl>
      <w:tblPr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587"/>
        <w:gridCol w:w="2391"/>
        <w:gridCol w:w="2460"/>
        <w:gridCol w:w="2250"/>
        <w:gridCol w:w="1005"/>
        <w:gridCol w:w="1695"/>
        <w:gridCol w:w="891"/>
      </w:tblGrid>
      <w:tr>
        <w:trPr>
          <w:trHeight w:val="56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检测类别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有效期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rPr>
          <w:cantSplit/>
          <w:trHeight w:val="133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河南永睦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机动车检测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239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汽油车、轻型柴油车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日至2026年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月2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平顶山市卫东区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申楼村39号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000000"/>
                <w:kern w:val="0"/>
                <w:sz w:val="24"/>
                <w:szCs w:val="24"/>
                <w:lang w:eastAsia="zh-CN"/>
              </w:rPr>
              <w:t>孙春献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宋体" w:hAnsi="宋体" w:eastAsia="宋体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0375-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6160333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43</Words>
  <Characters>246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2020-07-28T18:01:00Z</dcterms:created>
  <dc:creator>雨林木风</dc:creator>
  <cp:lastPrinted>2020-11-12T08:35:26Z</cp:lastPrinted>
  <dcterms:modified xsi:type="dcterms:W3CDTF">2020-11-12T08:43:06Z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