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0"/>
        <w:gridCol w:w="12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14190" w:type="dxa"/>
            <w:gridSpan w:val="2"/>
            <w:tcBorders>
              <w:top w:val="nil"/>
              <w:left w:val="nil"/>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52"/>
                <w:szCs w:val="52"/>
                <w:u w:val="none"/>
                <w:lang w:val="en-US" w:eastAsia="zh-CN" w:bidi="ar"/>
              </w:rPr>
            </w:pPr>
            <w:r>
              <w:rPr>
                <w:rFonts w:hint="eastAsia" w:ascii="黑体" w:hAnsi="黑体" w:eastAsia="黑体" w:cs="黑体"/>
                <w:i w:val="0"/>
                <w:iCs w:val="0"/>
                <w:color w:val="000000"/>
                <w:kern w:val="0"/>
                <w:sz w:val="32"/>
                <w:szCs w:val="32"/>
                <w:u w:val="none"/>
                <w:lang w:val="en-US" w:eastAsia="zh-CN" w:bidi="ar"/>
              </w:rPr>
              <w:t xml:space="preserve">附件1 </w:t>
            </w:r>
            <w:r>
              <w:rPr>
                <w:rFonts w:hint="eastAsia" w:ascii="宋体" w:hAnsi="宋体" w:eastAsia="宋体" w:cs="宋体"/>
                <w:i w:val="0"/>
                <w:iCs w:val="0"/>
                <w:color w:val="000000"/>
                <w:kern w:val="0"/>
                <w:sz w:val="52"/>
                <w:szCs w:val="52"/>
                <w:u w:val="none"/>
                <w:lang w:val="en-US" w:eastAsia="zh-CN" w:bidi="ar"/>
              </w:rPr>
              <w:t xml:space="preserve">     </w:t>
            </w:r>
            <w:bookmarkStart w:id="0" w:name="_GoBack"/>
            <w:bookmarkEnd w:id="0"/>
          </w:p>
          <w:p>
            <w:pPr>
              <w:keepNext w:val="0"/>
              <w:keepLines w:val="0"/>
              <w:widowControl/>
              <w:suppressLineNumbers w:val="0"/>
              <w:jc w:val="center"/>
              <w:textAlignment w:val="center"/>
              <w:rPr>
                <w:rFonts w:hint="eastAsia" w:ascii="宋体" w:hAnsi="宋体" w:eastAsia="宋体" w:cs="宋体"/>
                <w:i w:val="0"/>
                <w:iCs w:val="0"/>
                <w:color w:val="000000"/>
                <w:sz w:val="52"/>
                <w:szCs w:val="52"/>
                <w:u w:val="none"/>
              </w:rPr>
            </w:pP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平顶山市生态环境总体准入要求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维度</w:t>
            </w:r>
          </w:p>
        </w:tc>
        <w:tc>
          <w:tcPr>
            <w:tcW w:w="1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管控要求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1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全市原则上禁止新建、扩建单纯新增产能的钢铁、电解铝、水泥、平板玻璃、传统煤化工（甲醇、合成氨）、焦化、铸造、铝用炭素、耐火材料制品、砖瓦窑、铅锌冶炼(含再生铅)等高耗能、高排放和产能过剩的产业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燃区内禁止新建火电、水泥、铸造、陶瓷、焦化、洗煤、烧结砖等高污染项目；禁止燃烧原（散）煤、蜂窝煤、焦炭、木炭、煤矸石、煤泥、煤焦油、重油、渣油等燃料；禁止燃烧各种可燃废物和直接燃用生物质燃料，已建成的使用高污染燃料的各类设施限期拆除或改造，对于超出规定期限继续燃用高污染燃料的设施，责令拆除或者没收。综合采用“电代煤”“气代煤”、清洁能源替代散煤等多种方式，减少燃煤散烧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3.在南水北调中线总干渠一级饮用水源保护区内，禁止新建、改建、扩建与供水设施和保护水源无关的建设项目。在二级饮用水源保护区内，禁止新建、改建、扩建排放污染物的建设项目。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在饮用水水源保护区内，禁止设置排污口。禁止在饮用水水源一级保护区内新建、改建、扩建与供水设施和保护水源无关的建设项目；禁止在饮用水水源一级保护区内从事网箱养殖、旅游、游泳、垂钓或者其他可能污染饮用水水体的活动。禁止在饮用水水源二级保护区内新建、改建、扩建排放污染物的建设项目；在饮用水水源二级保护区内从事网箱养殖、旅游等活动的，应当按照规定采取措施，防止污染饮用水水体。禁止在饮用水水源准保护区内新建、扩建对水体污染严重的建设项目；改建建设项目，不得增加排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5.禁养区内禁止建设畜禽养殖场和养殖小区。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禁止在地质环境脆弱区开发矿产资源，禁止开挖耕地烧制实心砖瓦；已查明资源储量的水泥用灰岩、化工用灰岩、溶剂用灰岩矿区内，禁止将灰岩作建筑石料用矿产开采。禁止开采区内，除国家基础性、公益性地质调查及符合政策要求的、以国家战略性矿产地储备为目的的矿产资源勘查项目外，一律不得新设探矿权、采矿权，严厉打击和取缔违法采矿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7.严格限制“两高”项目盲目发展。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8.一级保护区内已建成的与供水设施和保护水源无关的建设项目，由县级以上人民政府责令拆除或者关闭。二级保护区内已建成的排放污染物的建设项目，由县级以上人民政府责令拆除或者关闭。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9.石化、现代煤化工项目应纳入国家产业规划。新建、扩建石化、化工、焦化、有色金属冶炼、平板玻璃项目应布设在依法合规设立并经规划环评的产业园区。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对澧河、沙河、北汝河及其主要支流、白龟山水库、昭平台水库、孤石滩水库、石漫滩水库、南水北调总干渠和流进中心城市的河流进行保护，其中包括白龟山水库的入库河流、沙河上游、大浪河、澎河、应河及中心城区内的湛河。保护区分为绝对生态控制区和建设控制区，保护范围在下层次规划中予以落实。除绿化以外的城市建设严禁占用绝对生态控制区内的河湖湿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4"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污染物排放</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w:t>
            </w:r>
          </w:p>
        </w:tc>
        <w:tc>
          <w:tcPr>
            <w:tcW w:w="1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1.新、改、扩建项目主要污染物排放要求满足当地总量减排要求。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饮用水源保护区内，禁止设置排污口；禁止使用剧毒和高残留农药，不得滥用化肥；禁止利用渗坑、渗井、裂隙等排放污水和其他有害废弃物；禁止利用储水层孔隙、裂隙及废弃矿坑储存石油、放射性物质、有毒化学品、农药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3.实施工业低碳行动，推进钢铁、煤化工、水泥、铝加工、玻璃、耐火材料制品、煤电等产业绿色、减量、提质发展，开展全流程清洁化、循环化、低碳化改造，加快建设绿色制造体系。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完善新能源汽车推广应用及产业化发展政策措施，推动全市公共领域车辆新能源化。除保留部分应急车辆及新能源汽车无法满足使用需求情况外，新增及更新公交车、出租车（含巡游出租车和网约车）应全部为新能源汽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w:t>
            </w:r>
            <w:r>
              <w:rPr>
                <w:rStyle w:val="4"/>
                <w:lang w:val="en-US" w:eastAsia="zh-CN" w:bidi="ar"/>
              </w:rPr>
              <w:t>“十四五”期间，全市环境空气质量、地表水质量、地下水质量完成国家、省、市下达目标要求。</w:t>
            </w:r>
            <w:r>
              <w:rPr>
                <w:rFonts w:hint="eastAsia" w:ascii="宋体" w:hAnsi="宋体" w:eastAsia="宋体" w:cs="宋体"/>
                <w:i w:val="0"/>
                <w:iCs w:val="0"/>
                <w:color w:val="000000"/>
                <w:kern w:val="0"/>
                <w:sz w:val="22"/>
                <w:szCs w:val="22"/>
                <w:u w:val="none"/>
                <w:lang w:val="en-US" w:eastAsia="zh-CN" w:bidi="ar"/>
              </w:rPr>
              <w:t>2021年，推进垃圾焚烧发电企业全面完成提标治理，焚烧炉烟气颗粒物、二氧化硫、氮氧化物排放浓度（1小时均值）在基准氧含量11%的条件下分别不高于10、35、100毫克/立方米，采用氨法脱硝、氨法脱硫工艺的垃圾焚烧废气氨排放浓度不高于8毫克/立方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新建“两高”项目应按照《关于加强重点行业建设项目区域削减措施监督管理的通知》要求，依据区域环境质量改善目标，制定配套区域污染物削减方案，采取有效的污染物区域削减措施，腾出足够的环境容量。新建、扩建“两高”项目应采用先进适用的工艺技术和装备，单位产品物耗、能耗、水耗等达到清洁生产先进水平，依法制定并严格落实防治土壤与地下水污染的措施。国家或地方已出台超低排放要求的“两高”行业建设项目应满足超低排放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开展清洁取暖“双替代”巩固提升行动，对完成“双替代”供暖改造的区域开展“回头看”，查漏补缺，落实电力和天然气供应保障和电价气价优惠政策。在已公告划定为“禁煤区”的区域，开展散煤治理行动，依法查处违规销售、储存、运输、使用洁净型煤和散煤的行为，严防严控散煤复烧，确保全市平原地区散煤清零。对不具备“双替代”改造条件的边远山区实行洁净型煤兜底全覆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加强八里河、净肠河、灰河、将相河4个水环境质量改善河流的治理力度，采取控源截污、清淤、生态修复等措施，确保水环境质量持续改善。对现状水质较好的沙河、北汝河、澧河源头及干流河段开展生态环境安全评估，实施生态环境保护和综合治理，恢复水生态系统完整性，确保良好水体水质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大宗物料优先采用铁路、管道或水路运输，短途接驳优先使用新能源车辆运输。积极推动铁路专用线建设，落实《河南省加快推进铁路专用线进企入园工程实施方案》，推进煤炭、钢铁、电力、焦化、水泥等大宗货物年运输量150万吨以上的大型工矿企业以及大型物流园区新(改、扩)建铁路专用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1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1.开展饮用水水源规范化建设和饮用水水源地环境状况排查评估以及风险预警，强化对水源保护区管线穿越、交通运输等风险源的风险管理，依法清理饮用水水源保护区内违法建筑和排污口。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2.强化全市涉化工、危险废物等产业集聚区（专业园区）以及建设项目环境风险防范体系建设，有效防范环境风险。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资源利用效率要求</w:t>
            </w:r>
          </w:p>
        </w:tc>
        <w:tc>
          <w:tcPr>
            <w:tcW w:w="1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十四五期间，全市煤炭消费总量控制完成国家、省、市下达目标要求。全市能耗增量控制目标控制完成国家、省、市下达目标要求。严格落实《河南省耗煤项目煤炭消费替代管理（暂行）办法》。新建耗煤项目严格按规定采取煤炭消费减量替代措施，不得使用高污染燃料作为煤炭减量替代措施。“十四五”能耗双控和减煤目标：强度初步下降14.5%，能耗增量控制目标105万吨标准煤；煤炭消费总量降低目标14%，煤炭消费总量控制目标1940万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十四五期间，全市年用水总量控制完成国家、省、市下达目标要求。合理调整工业布局和产业结构，限制高耗水项目，淘汰高耗水工艺和设备；鼓励节水技术开发和节水设备、器具的研制，重点抓工业内部循环用水，提高重复利用率。对公共供水能力能够满足用水需求的和南水北调受水区内，应逐步关停自备井，停止开采地下水。在城市公共供水管网能够满足用水需要还要申请地下水的，以及在严重超采区内取用地下水的，不予批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3.实行严格的耕地保护制度和节约用地制度，提高土地资源利用效率。新增建设用地土壤环境安全保障率100%。</w:t>
            </w:r>
          </w:p>
        </w:tc>
      </w:tr>
    </w:tbl>
    <w:p>
      <w:pPr>
        <w:keepNext w:val="0"/>
        <w:keepLines w:val="0"/>
        <w:pageBreakBefore w:val="0"/>
        <w:widowControl w:val="0"/>
        <w:tabs>
          <w:tab w:val="left" w:pos="7350"/>
          <w:tab w:val="left" w:pos="7560"/>
        </w:tabs>
        <w:kinsoku/>
        <w:wordWrap/>
        <w:overflowPunct/>
        <w:topLinePunct w:val="0"/>
        <w:autoSpaceDE/>
        <w:autoSpaceDN/>
        <w:bidi w:val="0"/>
        <w:adjustRightInd/>
        <w:snapToGrid/>
        <w:ind w:right="1165" w:rightChars="555" w:firstLine="560" w:firstLineChars="200"/>
        <w:jc w:val="center"/>
        <w:textAlignment w:val="auto"/>
        <w:rPr>
          <w:rFonts w:hint="eastAsia" w:ascii="仿宋_GB2312"/>
          <w:sz w:val="28"/>
          <w:szCs w:val="28"/>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37CCB"/>
    <w:rsid w:val="42837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2021-10-09T07:03:00Z</dcterms:created>
  <dc:creator>小树</dc:creator>
  <cp:lastModifiedBy>小树</cp:lastModifiedBy>
  <dcterms:modified xsi:type="dcterms:W3CDTF">2021-10-09T07:04:23Z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EA3DB04AE17B42A9B3590258087476D9</vt:lpwstr>
  </property>
</Properties>
</file>